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B6" w:rsidRDefault="001A2CB6" w:rsidP="001A2CB6">
      <w:pPr>
        <w:pStyle w:val="1"/>
      </w:pPr>
      <w:r>
        <w:t>ГОСТ Р 50578-93 Материалы композиционные полимерные. Метод испытания на сдвиг перекашиванием пластин</w:t>
      </w:r>
    </w:p>
    <w:p w:rsidR="001A2CB6" w:rsidRDefault="001A2CB6" w:rsidP="001A2CB6">
      <w:pPr>
        <w:pStyle w:val="formattext"/>
        <w:jc w:val="right"/>
      </w:pPr>
      <w:r>
        <w:br/>
        <w:t>ГОСТ Р 50578-93</w:t>
      </w:r>
      <w:r>
        <w:br/>
      </w:r>
      <w:r>
        <w:br/>
        <w:t>Группа Л29</w:t>
      </w:r>
    </w:p>
    <w:p w:rsidR="001A2CB6" w:rsidRDefault="001A2CB6" w:rsidP="001A2CB6">
      <w:pPr>
        <w:pStyle w:val="headertext"/>
        <w:jc w:val="center"/>
      </w:pPr>
      <w:r>
        <w:t>     </w:t>
      </w:r>
      <w:r>
        <w:br/>
        <w:t>     </w:t>
      </w:r>
      <w:r>
        <w:br/>
        <w:t>ГОСУДАРСТВЕННЫЙ СТАНДАРТ РОССИЙСКОЙ ФЕДЕРАЦИИ</w:t>
      </w:r>
    </w:p>
    <w:p w:rsidR="001A2CB6" w:rsidRDefault="001A2CB6" w:rsidP="001A2CB6">
      <w:pPr>
        <w:pStyle w:val="headertext"/>
        <w:jc w:val="center"/>
      </w:pPr>
      <w:r>
        <w:t>МАТЕРИАЛЫ КОМПОЗИЦИОННЫЕ ПОЛИМЕРНЫЕ</w:t>
      </w:r>
    </w:p>
    <w:p w:rsidR="001A2CB6" w:rsidRDefault="001A2CB6" w:rsidP="001A2CB6">
      <w:pPr>
        <w:pStyle w:val="headertext"/>
        <w:jc w:val="center"/>
      </w:pPr>
      <w:r>
        <w:t>МЕТОД ИСПЫТАНИЯ НА СДВИГ ПЕРЕКАШИВАНИЕМ ПЛАСТИНЫ</w:t>
      </w:r>
    </w:p>
    <w:p w:rsidR="001A2CB6" w:rsidRPr="001A2CB6" w:rsidRDefault="001A2CB6" w:rsidP="001A2CB6">
      <w:pPr>
        <w:pStyle w:val="headertext"/>
        <w:jc w:val="center"/>
        <w:rPr>
          <w:lang w:val="en-US"/>
        </w:rPr>
      </w:pPr>
      <w:r w:rsidRPr="001A2CB6">
        <w:rPr>
          <w:lang w:val="en-US"/>
        </w:rPr>
        <w:t>Polymer composites.</w:t>
      </w:r>
      <w:r w:rsidRPr="001A2CB6">
        <w:rPr>
          <w:lang w:val="en-US"/>
        </w:rPr>
        <w:br/>
        <w:t>Plate distortion shear test</w:t>
      </w:r>
    </w:p>
    <w:p w:rsidR="001A2CB6" w:rsidRDefault="001A2CB6" w:rsidP="001A2CB6">
      <w:pPr>
        <w:pStyle w:val="formattext"/>
      </w:pPr>
      <w:r w:rsidRPr="001A2CB6">
        <w:br/>
      </w:r>
      <w:r w:rsidRPr="001A2CB6">
        <w:br/>
      </w:r>
      <w:r>
        <w:t>ОКСТУ 2209</w:t>
      </w:r>
    </w:p>
    <w:p w:rsidR="001A2CB6" w:rsidRDefault="001A2CB6" w:rsidP="001A2CB6">
      <w:pPr>
        <w:pStyle w:val="formattext"/>
        <w:jc w:val="right"/>
      </w:pPr>
      <w:r>
        <w:t>Дата введения 1994-07-01</w:t>
      </w:r>
    </w:p>
    <w:p w:rsidR="001A2CB6" w:rsidRDefault="001A2CB6" w:rsidP="001A2CB6">
      <w:pPr>
        <w:pStyle w:val="headertext"/>
        <w:jc w:val="center"/>
      </w:pPr>
      <w:r>
        <w:t>     </w:t>
      </w:r>
      <w:r>
        <w:br/>
        <w:t>     </w:t>
      </w:r>
      <w:r>
        <w:br/>
        <w:t>Предисловие</w:t>
      </w:r>
    </w:p>
    <w:p w:rsidR="001A2CB6" w:rsidRDefault="001A2CB6" w:rsidP="001A2CB6">
      <w:pPr>
        <w:pStyle w:val="formattext"/>
      </w:pPr>
      <w:r>
        <w:t>1 РАЗРАБОТАН И ВНЕСЕН ТК 273 "Композиционные материалы и изделия из них"</w:t>
      </w:r>
      <w:r>
        <w:br/>
      </w:r>
    </w:p>
    <w:p w:rsidR="001A2CB6" w:rsidRDefault="001A2CB6" w:rsidP="001A2CB6">
      <w:pPr>
        <w:pStyle w:val="formattext"/>
      </w:pPr>
      <w:r>
        <w:t>2 УТВЕРЖДЕН И ВВЕДЕН В ДЕЙСТВИЕ Постановлением Госстандарта России от 12.07.93 N 170</w:t>
      </w:r>
      <w:r>
        <w:br/>
      </w:r>
    </w:p>
    <w:p w:rsidR="001A2CB6" w:rsidRDefault="001A2CB6" w:rsidP="001A2CB6">
      <w:pPr>
        <w:pStyle w:val="formattext"/>
      </w:pPr>
      <w:r>
        <w:t>3 ВВЕДЕН ВПЕРВЫЕ</w:t>
      </w:r>
      <w:r>
        <w:br/>
      </w:r>
      <w:r>
        <w:br/>
      </w:r>
    </w:p>
    <w:p w:rsidR="001A2CB6" w:rsidRDefault="001A2CB6" w:rsidP="001A2CB6">
      <w:pPr>
        <w:pStyle w:val="headertext"/>
        <w:jc w:val="center"/>
      </w:pPr>
      <w:r>
        <w:t>1 ОБЛАСТЬ ПРИМЕНЕНИЯ</w:t>
      </w:r>
    </w:p>
    <w:p w:rsidR="001A2CB6" w:rsidRDefault="001A2CB6" w:rsidP="001A2CB6">
      <w:pPr>
        <w:pStyle w:val="formattext"/>
      </w:pPr>
      <w:r>
        <w:br/>
        <w:t xml:space="preserve">Настоящий стандарт распространяется на композиционные полимерные материалы (ПКМ) конструкционного назначения, армированные непрерывными волокнами, структура которых симметрична относительно их срединной плоскости, и устанавливает </w:t>
      </w:r>
      <w:r>
        <w:lastRenderedPageBreak/>
        <w:t>метод испытания ПКМ на сдвиг в плоскости армирования перекашиванием пластины с определением модуля сдвига и предела прочности.</w:t>
      </w:r>
      <w:r>
        <w:br/>
      </w:r>
      <w:r>
        <w:br/>
      </w:r>
    </w:p>
    <w:p w:rsidR="001A2CB6" w:rsidRDefault="001A2CB6" w:rsidP="001A2CB6">
      <w:pPr>
        <w:pStyle w:val="2"/>
      </w:pPr>
      <w:r>
        <w:t>2 НОРМАТИВНЫЕ ССЫЛКИ</w:t>
      </w:r>
    </w:p>
    <w:p w:rsidR="001A2CB6" w:rsidRDefault="001A2CB6" w:rsidP="001A2CB6">
      <w:pPr>
        <w:pStyle w:val="formattext"/>
      </w:pPr>
      <w:r>
        <w:br/>
        <w:t>В настоящем стандарте использованы ссылки на следующие стандарты:</w:t>
      </w:r>
      <w:r>
        <w:br/>
      </w:r>
      <w:r>
        <w:br/>
      </w:r>
      <w:hyperlink r:id="rId4" w:history="1">
        <w:r>
          <w:rPr>
            <w:rStyle w:val="a3"/>
          </w:rPr>
          <w:t>ГОСТ 12423-66</w:t>
        </w:r>
      </w:hyperlink>
      <w:r>
        <w:t xml:space="preserve"> Пластмассы. Условия кондиционирования и испытания образцов (проб)</w:t>
      </w:r>
      <w:r>
        <w:br/>
      </w:r>
      <w:r>
        <w:br/>
      </w:r>
      <w:hyperlink r:id="rId5" w:history="1">
        <w:r>
          <w:rPr>
            <w:rStyle w:val="a3"/>
          </w:rPr>
          <w:t>ГОСТ 14359-69</w:t>
        </w:r>
      </w:hyperlink>
      <w:r>
        <w:t xml:space="preserve"> Пластмассы. Метод механических испытаний. Общие требования</w:t>
      </w:r>
      <w:r>
        <w:br/>
      </w:r>
      <w:r>
        <w:br/>
      </w:r>
      <w:hyperlink r:id="rId6" w:history="1">
        <w:r>
          <w:rPr>
            <w:rStyle w:val="a3"/>
          </w:rPr>
          <w:t>ГОСТ 21616-91</w:t>
        </w:r>
      </w:hyperlink>
      <w:r>
        <w:t xml:space="preserve"> </w:t>
      </w:r>
      <w:proofErr w:type="spellStart"/>
      <w:r>
        <w:t>Тензорезисторы</w:t>
      </w:r>
      <w:proofErr w:type="spellEnd"/>
      <w:r>
        <w:t>. Общие технические условия</w:t>
      </w:r>
      <w:r>
        <w:br/>
      </w:r>
      <w:r>
        <w:br/>
      </w:r>
      <w:hyperlink r:id="rId7" w:history="1">
        <w:r>
          <w:rPr>
            <w:rStyle w:val="a3"/>
          </w:rPr>
          <w:t>ГОСТ 28840-90</w:t>
        </w:r>
      </w:hyperlink>
      <w:r>
        <w:t xml:space="preserve"> Машины для испытания материалов на растяжение, сжатие и изгиб. Общие технические требования</w:t>
      </w:r>
      <w:r>
        <w:br/>
      </w:r>
      <w:r>
        <w:br/>
      </w:r>
    </w:p>
    <w:p w:rsidR="001A2CB6" w:rsidRDefault="001A2CB6" w:rsidP="001A2CB6">
      <w:pPr>
        <w:pStyle w:val="2"/>
      </w:pPr>
      <w:r>
        <w:t>3 ОБРАЗЦЫ ДЛЯ ИСПЫТАНИЙ</w:t>
      </w:r>
    </w:p>
    <w:p w:rsidR="001A2CB6" w:rsidRDefault="001A2CB6" w:rsidP="001A2CB6">
      <w:pPr>
        <w:pStyle w:val="formattext"/>
      </w:pPr>
      <w:r>
        <w:t>3.1 Форма и размеры образца указаны на рисунке 1.</w:t>
      </w:r>
      <w:r>
        <w:br/>
      </w:r>
    </w:p>
    <w:p w:rsidR="001A2CB6" w:rsidRDefault="001A2CB6" w:rsidP="001A2CB6">
      <w:pPr>
        <w:pStyle w:val="3"/>
      </w:pPr>
      <w:r>
        <w:t>Рисунок 1</w:t>
      </w:r>
    </w:p>
    <w:p w:rsidR="001A2CB6" w:rsidRDefault="001A2CB6" w:rsidP="001A2CB6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2907030" cy="3868420"/>
            <wp:effectExtent l="19050" t="0" r="7620" b="0"/>
            <wp:docPr id="1" name="Рисунок 1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386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  <w:jc w:val="center"/>
      </w:pPr>
      <w:r>
        <w:lastRenderedPageBreak/>
        <w:br/>
      </w:r>
      <w:r>
        <w:rPr>
          <w:i/>
          <w:iCs/>
        </w:rPr>
        <w:t>1, 2</w:t>
      </w:r>
      <w:r>
        <w:t xml:space="preserve"> - накладки; </w:t>
      </w:r>
      <w:r>
        <w:rPr>
          <w:i/>
          <w:iCs/>
        </w:rPr>
        <w:t>3</w:t>
      </w:r>
      <w:r>
        <w:t xml:space="preserve"> - образец; </w:t>
      </w:r>
      <w:r>
        <w:rPr>
          <w:i/>
          <w:iCs/>
        </w:rPr>
        <w:t>4</w:t>
      </w:r>
      <w:r>
        <w:t xml:space="preserve"> - </w:t>
      </w:r>
      <w:proofErr w:type="spellStart"/>
      <w:r>
        <w:t>тензорезисторы</w:t>
      </w:r>
      <w:proofErr w:type="spellEnd"/>
      <w:r>
        <w:br/>
      </w:r>
      <w:r>
        <w:br/>
        <w:t>Рисунок 1</w:t>
      </w:r>
    </w:p>
    <w:p w:rsidR="001A2CB6" w:rsidRDefault="001A2CB6" w:rsidP="001A2CB6">
      <w:pPr>
        <w:pStyle w:val="formattext"/>
      </w:pPr>
      <w:r>
        <w:br/>
      </w:r>
    </w:p>
    <w:p w:rsidR="001A2CB6" w:rsidRDefault="001A2CB6" w:rsidP="001A2CB6">
      <w:pPr>
        <w:pStyle w:val="formattext"/>
      </w:pPr>
      <w:r>
        <w:t xml:space="preserve">3.2 Образцы вырезают из однородных по толщине плит в направлениях главных осей </w:t>
      </w:r>
      <w:proofErr w:type="spellStart"/>
      <w:r>
        <w:t>ортотропии</w:t>
      </w:r>
      <w:proofErr w:type="spellEnd"/>
      <w:r>
        <w:t xml:space="preserve"> ПКМ или под углом к главным осям, указанным в нормативно-технической документации на конкретный материал.</w:t>
      </w:r>
      <w:r>
        <w:br/>
      </w:r>
    </w:p>
    <w:p w:rsidR="001A2CB6" w:rsidRDefault="001A2CB6" w:rsidP="001A2CB6">
      <w:pPr>
        <w:pStyle w:val="formattext"/>
      </w:pPr>
      <w:r>
        <w:t>3.3. Отверстия в образце диаметром 18 мм сверлят в соответствии с рисунком 1.</w:t>
      </w:r>
      <w:r>
        <w:br/>
      </w:r>
    </w:p>
    <w:p w:rsidR="001A2CB6" w:rsidRDefault="001A2CB6" w:rsidP="001A2CB6">
      <w:pPr>
        <w:pStyle w:val="formattext"/>
      </w:pPr>
      <w:r>
        <w:t>3.4 Количество образцов для определения каждого показателя должно быть не менее трех. Допускается использовать одни и те же образцы, если предварительная нагрузка не превышает 20% от разрушающей.</w:t>
      </w:r>
      <w:r>
        <w:br/>
      </w:r>
    </w:p>
    <w:p w:rsidR="001A2CB6" w:rsidRDefault="001A2CB6" w:rsidP="001A2CB6">
      <w:pPr>
        <w:pStyle w:val="formattext"/>
      </w:pPr>
      <w:r>
        <w:t>3.5 Образцы для испытаний должны иметь гладкую поверхность без вздутий, трещин, видимых невооруженным глазом.</w:t>
      </w:r>
      <w:r>
        <w:br/>
      </w:r>
    </w:p>
    <w:p w:rsidR="001A2CB6" w:rsidRDefault="001A2CB6" w:rsidP="001A2CB6">
      <w:pPr>
        <w:pStyle w:val="formattext"/>
      </w:pPr>
      <w:r>
        <w:t>3.6 Период времени от окончания изготовления ПКМ до его испытания должен составлять не менее 16 ч, включая время кондиционирования, если иное не указано в нормативно-технической документации на конкретный материал.</w:t>
      </w:r>
      <w:r>
        <w:br/>
      </w:r>
    </w:p>
    <w:p w:rsidR="001A2CB6" w:rsidRDefault="001A2CB6" w:rsidP="001A2CB6">
      <w:pPr>
        <w:pStyle w:val="formattext"/>
      </w:pPr>
      <w:r>
        <w:t>3.7 Рекомендуемая толщина стеклотекстолитовых накладок составляет двукратную толщину образца. Суммарная толщина образца с накладками не должна превышать 30 мм.</w:t>
      </w:r>
      <w:r>
        <w:br/>
      </w:r>
      <w:r>
        <w:br/>
      </w:r>
    </w:p>
    <w:p w:rsidR="001A2CB6" w:rsidRDefault="001A2CB6" w:rsidP="001A2CB6">
      <w:pPr>
        <w:pStyle w:val="2"/>
      </w:pPr>
      <w:r>
        <w:t>4 ИСПЫТАТЕЛЬНОЕ ОБОРУДОВАНИЕ</w:t>
      </w:r>
    </w:p>
    <w:p w:rsidR="001A2CB6" w:rsidRDefault="001A2CB6" w:rsidP="001A2CB6">
      <w:pPr>
        <w:pStyle w:val="formattext"/>
      </w:pPr>
      <w:r>
        <w:t xml:space="preserve">4.1 Испытания проводят на испытательной машине, обеспечивающей </w:t>
      </w:r>
      <w:proofErr w:type="spellStart"/>
      <w:r>
        <w:t>нагружение</w:t>
      </w:r>
      <w:proofErr w:type="spellEnd"/>
      <w:r>
        <w:t xml:space="preserve"> образца с заданной постоянной скоростью перемещения активного захвата от 0,1 до 1,0 мм/мин, измерение нагрузки с погрешностью не более 1% измеряемой величины и отвечающей требованиям </w:t>
      </w:r>
      <w:hyperlink r:id="rId9" w:history="1">
        <w:r>
          <w:rPr>
            <w:rStyle w:val="a3"/>
          </w:rPr>
          <w:t>ГОСТ 28840</w:t>
        </w:r>
      </w:hyperlink>
      <w:r>
        <w:t>.</w:t>
      </w:r>
      <w:r>
        <w:br/>
      </w:r>
    </w:p>
    <w:p w:rsidR="001A2CB6" w:rsidRDefault="001A2CB6" w:rsidP="001A2CB6">
      <w:pPr>
        <w:pStyle w:val="formattext"/>
      </w:pPr>
      <w:r>
        <w:t xml:space="preserve">4.2 В испытательной машине должны быть предусмотрены </w:t>
      </w:r>
      <w:proofErr w:type="spellStart"/>
      <w:r>
        <w:t>термокамеры</w:t>
      </w:r>
      <w:proofErr w:type="spellEnd"/>
      <w:r>
        <w:t xml:space="preserve"> для проведения испытаний при повышенных и пониженных температурах.</w:t>
      </w:r>
      <w:r>
        <w:br/>
      </w:r>
    </w:p>
    <w:p w:rsidR="001A2CB6" w:rsidRDefault="001A2CB6" w:rsidP="001A2CB6">
      <w:pPr>
        <w:pStyle w:val="formattext"/>
      </w:pPr>
      <w:r>
        <w:t>4.3 Образец нагружают при помощи специального приспособления в соответствии с рисунком 2 приложением А.*</w:t>
      </w:r>
      <w:r>
        <w:br/>
        <w:t>________________</w:t>
      </w:r>
      <w:r>
        <w:br/>
        <w:t xml:space="preserve">* Текст соответствует оригиналу. - Примечание изготовителя базы данных. </w:t>
      </w:r>
      <w:r>
        <w:br/>
      </w:r>
    </w:p>
    <w:p w:rsidR="001A2CB6" w:rsidRDefault="001A2CB6" w:rsidP="001A2CB6">
      <w:pPr>
        <w:pStyle w:val="3"/>
      </w:pPr>
      <w:r>
        <w:lastRenderedPageBreak/>
        <w:t>Рисунок 2</w:t>
      </w:r>
    </w:p>
    <w:p w:rsidR="001A2CB6" w:rsidRDefault="001A2CB6" w:rsidP="001A2CB6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2180590" cy="2837180"/>
            <wp:effectExtent l="19050" t="0" r="0" b="0"/>
            <wp:docPr id="2" name="Рисунок 2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283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  <w:jc w:val="center"/>
      </w:pPr>
      <w:r>
        <w:br/>
      </w:r>
      <w:r>
        <w:rPr>
          <w:i/>
          <w:iCs/>
        </w:rPr>
        <w:t>1</w:t>
      </w:r>
      <w:r>
        <w:t xml:space="preserve"> - рама; </w:t>
      </w:r>
      <w:r>
        <w:rPr>
          <w:i/>
          <w:iCs/>
        </w:rPr>
        <w:t>2</w:t>
      </w:r>
      <w:r>
        <w:t xml:space="preserve"> - пуансон; </w:t>
      </w:r>
      <w:r>
        <w:rPr>
          <w:i/>
          <w:iCs/>
        </w:rPr>
        <w:t>3</w:t>
      </w:r>
      <w:r>
        <w:t xml:space="preserve"> - образец; </w:t>
      </w:r>
      <w:r>
        <w:rPr>
          <w:i/>
          <w:iCs/>
        </w:rPr>
        <w:t>4</w:t>
      </w:r>
      <w:r>
        <w:t xml:space="preserve"> - болты</w:t>
      </w:r>
      <w:r>
        <w:br/>
      </w:r>
      <w:r>
        <w:br/>
        <w:t>Рисунок 2</w:t>
      </w:r>
    </w:p>
    <w:p w:rsidR="001A2CB6" w:rsidRDefault="001A2CB6" w:rsidP="001A2CB6">
      <w:pPr>
        <w:pStyle w:val="formattext"/>
      </w:pPr>
      <w:r>
        <w:br/>
      </w:r>
    </w:p>
    <w:p w:rsidR="001A2CB6" w:rsidRDefault="001A2CB6" w:rsidP="001A2CB6">
      <w:pPr>
        <w:pStyle w:val="formattext"/>
      </w:pPr>
      <w:r>
        <w:t xml:space="preserve">4.4 Шкалу </w:t>
      </w:r>
      <w:proofErr w:type="spellStart"/>
      <w:r>
        <w:t>силоизмерителя</w:t>
      </w:r>
      <w:proofErr w:type="spellEnd"/>
      <w:r>
        <w:t xml:space="preserve"> испытательной машины выбирают от 20 до 80% предельного значения.</w:t>
      </w:r>
      <w:r>
        <w:br/>
      </w:r>
    </w:p>
    <w:p w:rsidR="001A2CB6" w:rsidRDefault="001A2CB6" w:rsidP="001A2CB6">
      <w:pPr>
        <w:pStyle w:val="formattext"/>
      </w:pPr>
      <w:r>
        <w:t xml:space="preserve">4.5 Измеритель деформации - </w:t>
      </w:r>
      <w:proofErr w:type="spellStart"/>
      <w:r>
        <w:t>тензорезистор</w:t>
      </w:r>
      <w:proofErr w:type="spellEnd"/>
      <w:r>
        <w:t xml:space="preserve"> с базой не более 5 мм по </w:t>
      </w:r>
      <w:hyperlink r:id="rId11" w:history="1">
        <w:r>
          <w:rPr>
            <w:rStyle w:val="a3"/>
          </w:rPr>
          <w:t>ГОСТ 21616</w:t>
        </w:r>
      </w:hyperlink>
      <w:r>
        <w:t>.</w:t>
      </w:r>
      <w:r>
        <w:br/>
      </w:r>
      <w:r>
        <w:br/>
      </w:r>
    </w:p>
    <w:p w:rsidR="001A2CB6" w:rsidRDefault="001A2CB6" w:rsidP="001A2CB6">
      <w:pPr>
        <w:pStyle w:val="2"/>
      </w:pPr>
      <w:r>
        <w:t>5 ПОДГОТОВКА ИСПЫТАНИЙ</w:t>
      </w:r>
    </w:p>
    <w:p w:rsidR="001A2CB6" w:rsidRDefault="001A2CB6" w:rsidP="001A2CB6">
      <w:pPr>
        <w:pStyle w:val="formattext"/>
      </w:pPr>
      <w:r>
        <w:t>5.1 Перед испытанием образцы нумеруют мягким карандашом на стеклотекстолитовой накладке.</w:t>
      </w:r>
      <w:r>
        <w:br/>
      </w:r>
    </w:p>
    <w:p w:rsidR="001A2CB6" w:rsidRDefault="001A2CB6" w:rsidP="001A2CB6">
      <w:pPr>
        <w:pStyle w:val="formattext"/>
      </w:pPr>
      <w:r>
        <w:t>5.2 Измеряют длину и толщину образца по краям рабочей зоны. Среднее арифметическое значение длины и толщины записывают в протокол испытаний.</w:t>
      </w:r>
      <w:r>
        <w:br/>
      </w:r>
    </w:p>
    <w:p w:rsidR="001A2CB6" w:rsidRDefault="001A2CB6" w:rsidP="001A2CB6">
      <w:pPr>
        <w:pStyle w:val="formattext"/>
      </w:pPr>
      <w:r>
        <w:t xml:space="preserve">5.3 </w:t>
      </w:r>
      <w:proofErr w:type="spellStart"/>
      <w:r>
        <w:t>Тензорезисторы</w:t>
      </w:r>
      <w:proofErr w:type="spellEnd"/>
      <w:r>
        <w:t xml:space="preserve"> наклеивают с каждой стороны образца в середине рабочей зоны под углом 45°.</w:t>
      </w:r>
      <w:r>
        <w:br/>
      </w:r>
    </w:p>
    <w:p w:rsidR="001A2CB6" w:rsidRDefault="001A2CB6" w:rsidP="001A2CB6">
      <w:pPr>
        <w:pStyle w:val="formattext"/>
      </w:pPr>
      <w:r>
        <w:t xml:space="preserve">5.4 Перед испытаниями образцы кондиционируют при одной из стандартных атмосфер в соответствии с </w:t>
      </w:r>
      <w:hyperlink r:id="rId12" w:history="1">
        <w:r>
          <w:rPr>
            <w:rStyle w:val="a3"/>
          </w:rPr>
          <w:t>ГОСТ 12423</w:t>
        </w:r>
      </w:hyperlink>
      <w:r>
        <w:t xml:space="preserve">, если иное не указано в нормативно-технической </w:t>
      </w:r>
      <w:r>
        <w:lastRenderedPageBreak/>
        <w:t>документации на конкретный материал.</w:t>
      </w:r>
      <w:r>
        <w:br/>
      </w:r>
    </w:p>
    <w:p w:rsidR="001A2CB6" w:rsidRDefault="001A2CB6" w:rsidP="001A2CB6">
      <w:pPr>
        <w:pStyle w:val="formattext"/>
      </w:pPr>
      <w:r>
        <w:t>5.5 При проведении испытаний в условиях повышенной или пониженной температуры время выдержки образца должно составлять не менее 20 минут на каждый миллиметр толщины, если иное не указано в нормативно-технической документации на конкретный материал.</w:t>
      </w:r>
      <w:r>
        <w:br/>
      </w:r>
    </w:p>
    <w:p w:rsidR="001A2CB6" w:rsidRDefault="001A2CB6" w:rsidP="001A2CB6">
      <w:pPr>
        <w:pStyle w:val="formattext"/>
      </w:pPr>
      <w:r>
        <w:t>5.6 Устанавливают скорость перемещения активного захвата испытательной машины.</w:t>
      </w:r>
      <w:r>
        <w:br/>
      </w:r>
    </w:p>
    <w:p w:rsidR="001A2CB6" w:rsidRDefault="001A2CB6" w:rsidP="001A2CB6">
      <w:pPr>
        <w:pStyle w:val="formattext"/>
      </w:pPr>
      <w:r>
        <w:t>5.7 Образец с накладками закрепляют в приспособлении. Приспособление с образцом устанавливают на опорную плиту испытательной машины и крепят к ней двумя болтами М16 так, чтобы продольная ось приспособления совпадала с направлением действия нагрузки.</w:t>
      </w:r>
      <w:r>
        <w:br/>
      </w:r>
      <w:r>
        <w:br/>
      </w:r>
    </w:p>
    <w:p w:rsidR="001A2CB6" w:rsidRDefault="001A2CB6" w:rsidP="001A2CB6">
      <w:pPr>
        <w:pStyle w:val="2"/>
      </w:pPr>
      <w:r>
        <w:t>6 ПРОВЕДЕНИЕ ИСПЫТАНИЙ</w:t>
      </w:r>
    </w:p>
    <w:p w:rsidR="001A2CB6" w:rsidRDefault="001A2CB6" w:rsidP="001A2CB6">
      <w:pPr>
        <w:pStyle w:val="formattext"/>
      </w:pPr>
      <w:r>
        <w:t xml:space="preserve">6.1 Испытания проводят при температуре и влажности, установленных в </w:t>
      </w:r>
      <w:hyperlink r:id="rId13" w:history="1">
        <w:r>
          <w:rPr>
            <w:rStyle w:val="a3"/>
          </w:rPr>
          <w:t>ГОСТ 14359</w:t>
        </w:r>
      </w:hyperlink>
      <w:r>
        <w:t>, если иное не указано в нормативно-технической документации на конкретный материал.</w:t>
      </w:r>
      <w:r>
        <w:br/>
      </w:r>
    </w:p>
    <w:p w:rsidR="001A2CB6" w:rsidRDefault="001A2CB6" w:rsidP="001A2CB6">
      <w:pPr>
        <w:pStyle w:val="formattext"/>
      </w:pPr>
      <w:r>
        <w:t>6.2 Образцы нагружают до разрушения и записывают диаграмму. Максимальную нагрузку (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ГОСТ Р 50578-93 Материалы композиционные полимерные. Метод испытания на сдвиг перекашиванием пластин" style="width:26.45pt;height:17.85pt"/>
        </w:pict>
      </w:r>
      <w:r>
        <w:t>), которую выдержал образец, заносят в протокол испытаний.</w:t>
      </w:r>
      <w:r>
        <w:br/>
      </w:r>
    </w:p>
    <w:p w:rsidR="001A2CB6" w:rsidRDefault="001A2CB6" w:rsidP="001A2CB6">
      <w:pPr>
        <w:pStyle w:val="formattext"/>
      </w:pPr>
      <w:r>
        <w:t>6.3 Результаты испытаний считаются недействительными при разрушении образцов вне рабочей зоны.</w:t>
      </w:r>
      <w:r>
        <w:br/>
      </w:r>
      <w:r>
        <w:br/>
      </w:r>
    </w:p>
    <w:p w:rsidR="001A2CB6" w:rsidRDefault="001A2CB6" w:rsidP="001A2CB6">
      <w:pPr>
        <w:pStyle w:val="2"/>
      </w:pPr>
      <w:r>
        <w:t>7 ОБРАБОТКА РЕЗУЛЬТАТОВ</w:t>
      </w:r>
    </w:p>
    <w:p w:rsidR="001A2CB6" w:rsidRDefault="001A2CB6" w:rsidP="001A2CB6">
      <w:pPr>
        <w:pStyle w:val="formattext"/>
      </w:pPr>
      <w:r>
        <w:t>7.1 Модуль сдвига (</w:t>
      </w:r>
      <w:r>
        <w:pict>
          <v:shape id="_x0000_i1026" type="#_x0000_t75" alt="ГОСТ Р 50578-93 Материалы композиционные полимерные. Метод испытания на сдвиг перекашиванием пластин" style="width:20.3pt;height:17.25pt"/>
        </w:pict>
      </w:r>
      <w:r>
        <w:t xml:space="preserve">) в </w:t>
      </w:r>
      <w:proofErr w:type="spellStart"/>
      <w:r>
        <w:t>мегапаскалях</w:t>
      </w:r>
      <w:proofErr w:type="spellEnd"/>
      <w:r>
        <w:t xml:space="preserve"> определяют по формуле</w:t>
      </w:r>
      <w:r>
        <w:br/>
      </w:r>
    </w:p>
    <w:p w:rsidR="001A2CB6" w:rsidRDefault="001A2CB6" w:rsidP="001A2CB6">
      <w:pPr>
        <w:pStyle w:val="formattext"/>
        <w:jc w:val="right"/>
      </w:pPr>
      <w:r>
        <w:rPr>
          <w:noProof/>
        </w:rPr>
        <w:drawing>
          <wp:inline distT="0" distB="0" distL="0" distR="0">
            <wp:extent cx="945515" cy="429895"/>
            <wp:effectExtent l="19050" t="0" r="6985" b="0"/>
            <wp:docPr id="5" name="Рисунок 5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1A2CB6" w:rsidRDefault="001A2CB6" w:rsidP="001A2CB6">
      <w:pPr>
        <w:pStyle w:val="formattext"/>
      </w:pPr>
      <w:r>
        <w:br/>
        <w:t xml:space="preserve">где </w:t>
      </w:r>
      <w:r>
        <w:pict>
          <v:shape id="_x0000_i1027" type="#_x0000_t75" alt="ГОСТ Р 50578-93 Материалы композиционные полимерные. Метод испытания на сдвиг перекашиванием пластин" style="width:20.3pt;height:16pt"/>
        </w:pict>
      </w:r>
      <w:r>
        <w:t>- приращение нагрузки, Н;</w:t>
      </w:r>
      <w:r>
        <w:br/>
      </w:r>
      <w:r>
        <w:br/>
      </w:r>
      <w:r>
        <w:rPr>
          <w:noProof/>
        </w:rPr>
        <w:drawing>
          <wp:inline distT="0" distB="0" distL="0" distR="0">
            <wp:extent cx="562610" cy="179705"/>
            <wp:effectExtent l="19050" t="0" r="8890" b="0"/>
            <wp:docPr id="7" name="Рисунок 7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- площадь продольного сечения рабочей зоны образца, мм</w:t>
      </w:r>
      <w:r>
        <w:pict>
          <v:shape id="_x0000_i1028" type="#_x0000_t75" alt="ГОСТ Р 50578-93 Материалы композиционные полимерные. Метод испытания на сдвиг перекашиванием пластин" style="width:8pt;height:17.25pt"/>
        </w:pict>
      </w:r>
      <w:r>
        <w:t>;</w:t>
      </w:r>
      <w:r>
        <w:br/>
      </w:r>
      <w:r>
        <w:br/>
      </w:r>
      <w:r>
        <w:pict>
          <v:shape id="_x0000_i1029" type="#_x0000_t75" alt="ГОСТ Р 50578-93 Материалы композиционные полимерные. Метод испытания на сдвиг перекашиванием пластин" style="width:9.85pt;height:11.1pt"/>
        </w:pict>
      </w:r>
      <w:r>
        <w:t>- длина рабочей зоны, мм;</w:t>
      </w:r>
      <w:r>
        <w:br/>
      </w:r>
      <w:r>
        <w:br/>
      </w:r>
      <w:r>
        <w:pict>
          <v:shape id="_x0000_i1030" type="#_x0000_t75" alt="ГОСТ Р 50578-93 Материалы композиционные полимерные. Метод испытания на сдвиг перекашиванием пластин" style="width:9.85pt;height:14.15pt"/>
        </w:pict>
      </w:r>
      <w:r>
        <w:t>- толщина рабочей зоны, мм;</w:t>
      </w:r>
      <w:r>
        <w:br/>
      </w:r>
      <w:r>
        <w:br/>
      </w:r>
      <w:r>
        <w:rPr>
          <w:noProof/>
        </w:rPr>
        <w:drawing>
          <wp:inline distT="0" distB="0" distL="0" distR="0">
            <wp:extent cx="734695" cy="429895"/>
            <wp:effectExtent l="19050" t="0" r="8255" b="0"/>
            <wp:docPr id="11" name="Рисунок 11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- соответствующее приращение деформации сдвига;</w:t>
      </w:r>
      <w:r>
        <w:br/>
      </w:r>
      <w:r>
        <w:br/>
      </w:r>
      <w:r>
        <w:pict>
          <v:shape id="_x0000_i1031" type="#_x0000_t75" alt="ГОСТ Р 50578-93 Материалы композиционные полимерные. Метод испытания на сдвиг перекашиванием пластин" style="width:21.55pt;height:17.85pt"/>
        </w:pict>
      </w:r>
      <w:r>
        <w:t xml:space="preserve">- усредненные показатели </w:t>
      </w:r>
      <w:proofErr w:type="spellStart"/>
      <w:r>
        <w:t>тензорезистора</w:t>
      </w:r>
      <w:proofErr w:type="spellEnd"/>
    </w:p>
    <w:p w:rsidR="001A2CB6" w:rsidRDefault="001A2CB6" w:rsidP="001A2CB6">
      <w:pPr>
        <w:pStyle w:val="formattext"/>
      </w:pPr>
      <w:r>
        <w:t>7.2. Предел прочности на сдвиг (</w:t>
      </w:r>
      <w:r>
        <w:pict>
          <v:shape id="_x0000_i1032" type="#_x0000_t75" alt="ГОСТ Р 50578-93 Материалы композиционные полимерные. Метод испытания на сдвиг перекашиванием пластин" style="width:17.85pt;height:17.25pt"/>
        </w:pict>
      </w:r>
      <w:r>
        <w:t xml:space="preserve">) в </w:t>
      </w:r>
      <w:proofErr w:type="spellStart"/>
      <w:r>
        <w:t>мегапаскалях</w:t>
      </w:r>
      <w:proofErr w:type="spellEnd"/>
      <w:r>
        <w:t xml:space="preserve"> определяют по формуле</w:t>
      </w:r>
      <w:r>
        <w:br/>
      </w:r>
    </w:p>
    <w:p w:rsidR="001A2CB6" w:rsidRDefault="001A2CB6" w:rsidP="001A2CB6">
      <w:pPr>
        <w:pStyle w:val="formattext"/>
        <w:jc w:val="right"/>
      </w:pPr>
      <w:r>
        <w:rPr>
          <w:noProof/>
        </w:rPr>
        <w:drawing>
          <wp:inline distT="0" distB="0" distL="0" distR="0">
            <wp:extent cx="734695" cy="406400"/>
            <wp:effectExtent l="19050" t="0" r="8255" b="0"/>
            <wp:docPr id="14" name="Рисунок 14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(2)</w:t>
      </w:r>
    </w:p>
    <w:p w:rsidR="001A2CB6" w:rsidRDefault="001A2CB6" w:rsidP="001A2CB6">
      <w:pPr>
        <w:pStyle w:val="formattext"/>
      </w:pPr>
      <w:r>
        <w:br/>
        <w:t xml:space="preserve">где </w:t>
      </w:r>
      <w:r>
        <w:pict>
          <v:shape id="_x0000_i1033" type="#_x0000_t75" alt="ГОСТ Р 50578-93 Материалы композиционные полимерные. Метод испытания на сдвиг перекашиванием пластин" style="width:26.45pt;height:17.85pt"/>
        </w:pict>
      </w:r>
      <w:r>
        <w:t>- максимальная нагрузка, при которой образец разрушился, Н.</w:t>
      </w:r>
      <w:r>
        <w:br/>
      </w:r>
    </w:p>
    <w:p w:rsidR="001A2CB6" w:rsidRDefault="001A2CB6" w:rsidP="001A2CB6">
      <w:pPr>
        <w:pStyle w:val="formattext"/>
      </w:pPr>
      <w:r>
        <w:t>7.3. За результаты испытаний принимают среднее арифметическое всех определенных значений показателей (</w:t>
      </w:r>
      <w:r>
        <w:pict>
          <v:shape id="_x0000_i1034" type="#_x0000_t75" alt="ГОСТ Р 50578-93 Материалы композиционные полимерные. Метод испытания на сдвиг перекашиванием пластин" style="width:14.15pt;height:16pt"/>
        </w:pict>
      </w:r>
      <w:r>
        <w:t>). Статистическая обработка результатов, оценка стандартного отклонения (</w:t>
      </w:r>
      <w:r>
        <w:pict>
          <v:shape id="_x0000_i1035" type="#_x0000_t75" alt="ГОСТ Р 50578-93 Материалы композиционные полимерные. Метод испытания на сдвиг перекашиванием пластин" style="width:11.1pt;height:14.15pt"/>
        </w:pict>
      </w:r>
      <w:r>
        <w:t>) и коэффициента вариаций среднего отклонения (</w:t>
      </w:r>
      <w:r>
        <w:pict>
          <v:shape id="_x0000_i1036" type="#_x0000_t75" alt="ГОСТ Р 50578-93 Материалы композиционные полимерные. Метод испытания на сдвиг перекашиванием пластин" style="width:12.3pt;height:14.15pt"/>
        </w:pict>
      </w:r>
      <w:r>
        <w:t xml:space="preserve">) по </w:t>
      </w:r>
      <w:hyperlink r:id="rId18" w:history="1">
        <w:r>
          <w:rPr>
            <w:rStyle w:val="a3"/>
          </w:rPr>
          <w:t>ГОСТ 14359</w:t>
        </w:r>
      </w:hyperlink>
      <w:r>
        <w:t>.</w:t>
      </w:r>
      <w:r>
        <w:br/>
      </w:r>
    </w:p>
    <w:p w:rsidR="001A2CB6" w:rsidRDefault="001A2CB6" w:rsidP="001A2CB6">
      <w:pPr>
        <w:pStyle w:val="formattext"/>
      </w:pPr>
      <w:r>
        <w:t>7.4. Результаты испытаний записывают в протокол, который должен содержать следующие данные:</w:t>
      </w:r>
      <w:r>
        <w:br/>
      </w:r>
      <w:r>
        <w:br/>
        <w:t>- марку материала и обозначение документа на поставку;</w:t>
      </w:r>
      <w:r>
        <w:br/>
      </w:r>
      <w:r>
        <w:br/>
        <w:t>- объемное содержание наполнителя;</w:t>
      </w:r>
      <w:r>
        <w:br/>
      </w:r>
      <w:r>
        <w:br/>
        <w:t>- количество образцов;</w:t>
      </w:r>
      <w:r>
        <w:br/>
      </w:r>
      <w:r>
        <w:br/>
        <w:t>- сведения об испытательной машине, измерителях деформации и регистрирующей аппаратуре;</w:t>
      </w:r>
      <w:r>
        <w:br/>
      </w:r>
      <w:r>
        <w:br/>
        <w:t>- условия испытаний;</w:t>
      </w:r>
      <w:r>
        <w:br/>
      </w:r>
      <w:r>
        <w:br/>
        <w:t>- значения определяемых показателей по каждому образцу и их усредненные значения;</w:t>
      </w:r>
      <w:r>
        <w:br/>
      </w:r>
      <w:r>
        <w:br/>
        <w:t>- дату испытаний.</w:t>
      </w:r>
      <w:r>
        <w:br/>
      </w:r>
      <w:r>
        <w:br/>
      </w:r>
    </w:p>
    <w:p w:rsidR="001A2CB6" w:rsidRDefault="001A2CB6" w:rsidP="001A2CB6">
      <w:pPr>
        <w:pStyle w:val="2"/>
      </w:pPr>
      <w:r>
        <w:t>ПРИЛОЖЕНИЕ А (рекомендуемое). Приспособление для испытания образца</w:t>
      </w:r>
    </w:p>
    <w:p w:rsidR="001A2CB6" w:rsidRDefault="001A2CB6" w:rsidP="001A2CB6">
      <w:pPr>
        <w:pStyle w:val="formattext"/>
        <w:jc w:val="right"/>
      </w:pPr>
      <w:r>
        <w:t>ПРИЛОЖЕНИЕ А</w:t>
      </w:r>
      <w:r>
        <w:br/>
        <w:t>(рекомендуемое)</w:t>
      </w:r>
    </w:p>
    <w:p w:rsidR="001A2CB6" w:rsidRDefault="001A2CB6" w:rsidP="001A2CB6">
      <w:pPr>
        <w:pStyle w:val="formattext"/>
        <w:jc w:val="center"/>
      </w:pPr>
      <w:r>
        <w:lastRenderedPageBreak/>
        <w:br/>
      </w:r>
    </w:p>
    <w:p w:rsidR="001A2CB6" w:rsidRDefault="001A2CB6" w:rsidP="001A2CB6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3258820" cy="4556125"/>
            <wp:effectExtent l="19050" t="0" r="0" b="0"/>
            <wp:docPr id="19" name="Рисунок 19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820" cy="455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  <w:jc w:val="center"/>
      </w:pPr>
      <w:r>
        <w:br/>
      </w:r>
      <w:r>
        <w:rPr>
          <w:i/>
          <w:iCs/>
        </w:rPr>
        <w:t>1</w:t>
      </w:r>
      <w:r>
        <w:t xml:space="preserve"> - обойма; </w:t>
      </w:r>
      <w:r>
        <w:rPr>
          <w:i/>
          <w:iCs/>
        </w:rPr>
        <w:t>2</w:t>
      </w:r>
      <w:r>
        <w:t xml:space="preserve"> - вкладыш; </w:t>
      </w:r>
      <w:r>
        <w:rPr>
          <w:i/>
          <w:iCs/>
        </w:rPr>
        <w:t>3</w:t>
      </w:r>
      <w:r>
        <w:t xml:space="preserve"> - плита средняя; </w:t>
      </w:r>
      <w:r>
        <w:rPr>
          <w:i/>
          <w:iCs/>
        </w:rPr>
        <w:t>4</w:t>
      </w:r>
      <w:r>
        <w:t xml:space="preserve"> - плита крайняя; </w:t>
      </w:r>
      <w:r>
        <w:rPr>
          <w:i/>
          <w:iCs/>
        </w:rPr>
        <w:t>5</w:t>
      </w:r>
      <w:r>
        <w:t xml:space="preserve"> - башмак; </w:t>
      </w:r>
      <w:r>
        <w:rPr>
          <w:i/>
          <w:iCs/>
        </w:rPr>
        <w:t>6</w:t>
      </w:r>
      <w:r>
        <w:t xml:space="preserve"> - знак нижний; </w:t>
      </w:r>
      <w:r>
        <w:rPr>
          <w:i/>
          <w:iCs/>
        </w:rPr>
        <w:t>7</w:t>
      </w:r>
      <w:r>
        <w:t xml:space="preserve"> - знак верхний; </w:t>
      </w:r>
      <w:r>
        <w:rPr>
          <w:i/>
          <w:iCs/>
        </w:rPr>
        <w:t>8</w:t>
      </w:r>
      <w:r>
        <w:t xml:space="preserve"> - болт М12х1,5х44; </w:t>
      </w:r>
      <w:r>
        <w:rPr>
          <w:i/>
          <w:iCs/>
        </w:rPr>
        <w:t>9</w:t>
      </w:r>
      <w:r>
        <w:t xml:space="preserve"> - шайба 12; </w:t>
      </w:r>
      <w:r>
        <w:rPr>
          <w:i/>
          <w:iCs/>
        </w:rPr>
        <w:t>10</w:t>
      </w:r>
      <w:r>
        <w:t xml:space="preserve"> - болт М16х1,5х80; </w:t>
      </w:r>
      <w:r>
        <w:rPr>
          <w:i/>
          <w:iCs/>
        </w:rPr>
        <w:t>11</w:t>
      </w:r>
      <w:r>
        <w:t xml:space="preserve"> - гайка М16х1,5; </w:t>
      </w:r>
      <w:r>
        <w:rPr>
          <w:i/>
          <w:iCs/>
        </w:rPr>
        <w:t>12</w:t>
      </w:r>
      <w:r>
        <w:t xml:space="preserve"> - шайба 16</w:t>
      </w:r>
    </w:p>
    <w:p w:rsidR="001A2CB6" w:rsidRDefault="001A2CB6" w:rsidP="001A2CB6">
      <w:pPr>
        <w:pStyle w:val="formattext"/>
        <w:jc w:val="center"/>
      </w:pPr>
      <w:r>
        <w:br/>
        <w:t>Рисунок A.1 - Приспособление для испытания образца</w:t>
      </w:r>
    </w:p>
    <w:p w:rsidR="001A2CB6" w:rsidRDefault="001A2CB6" w:rsidP="001A2CB6">
      <w:pPr>
        <w:pStyle w:val="formattext"/>
        <w:jc w:val="center"/>
      </w:pPr>
      <w:r>
        <w:br/>
      </w:r>
    </w:p>
    <w:p w:rsidR="001A2CB6" w:rsidRDefault="001A2CB6" w:rsidP="001A2CB6">
      <w:pPr>
        <w:pStyle w:val="topleveltext"/>
        <w:jc w:val="center"/>
      </w:pPr>
      <w:r>
        <w:rPr>
          <w:noProof/>
        </w:rPr>
        <w:lastRenderedPageBreak/>
        <w:drawing>
          <wp:inline distT="0" distB="0" distL="0" distR="0">
            <wp:extent cx="3087370" cy="4954905"/>
            <wp:effectExtent l="19050" t="0" r="0" b="0"/>
            <wp:docPr id="20" name="Рисунок 20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370" cy="495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</w:pPr>
      <w:r>
        <w:t>1. 36-39 HRC</w:t>
      </w:r>
      <w:r>
        <w:pict>
          <v:shape id="_x0000_i1037" type="#_x0000_t75" alt="ГОСТ Р 50578-93 Материалы композиционные полимерные. Метод испытания на сдвиг перекашиванием пластин" style="width:8pt;height:17.85pt"/>
        </w:pict>
      </w:r>
      <w:r>
        <w:t>.</w:t>
      </w:r>
      <w:r>
        <w:br/>
      </w:r>
    </w:p>
    <w:p w:rsidR="001A2CB6" w:rsidRDefault="001A2CB6" w:rsidP="001A2CB6">
      <w:pPr>
        <w:pStyle w:val="formattext"/>
      </w:pPr>
      <w:r>
        <w:t xml:space="preserve">2. Н14; h14; </w:t>
      </w:r>
      <w:r>
        <w:rPr>
          <w:noProof/>
        </w:rPr>
        <w:drawing>
          <wp:inline distT="0" distB="0" distL="0" distR="0">
            <wp:extent cx="484505" cy="390525"/>
            <wp:effectExtent l="19050" t="0" r="0" b="0"/>
            <wp:docPr id="22" name="Рисунок 22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:rsidR="001A2CB6" w:rsidRDefault="001A2CB6" w:rsidP="001A2CB6">
      <w:pPr>
        <w:pStyle w:val="formattext"/>
      </w:pPr>
      <w:r>
        <w:t>3. Покрытие: Х6.</w:t>
      </w:r>
      <w:r>
        <w:br/>
      </w:r>
    </w:p>
    <w:p w:rsidR="001A2CB6" w:rsidRDefault="001A2CB6" w:rsidP="001A2CB6">
      <w:pPr>
        <w:pStyle w:val="formattext"/>
      </w:pPr>
      <w:r>
        <w:t>4. Обработку отверстий по размерам в квадратных скобках производить совместно с плитой</w:t>
      </w:r>
      <w:r>
        <w:br/>
      </w:r>
    </w:p>
    <w:p w:rsidR="001A2CB6" w:rsidRDefault="001A2CB6" w:rsidP="001A2CB6">
      <w:pPr>
        <w:pStyle w:val="formattext"/>
        <w:jc w:val="center"/>
      </w:pPr>
      <w:r>
        <w:t>Рисунок А.2 - Обойма</w:t>
      </w:r>
    </w:p>
    <w:p w:rsidR="001A2CB6" w:rsidRDefault="001A2CB6" w:rsidP="001A2CB6">
      <w:pPr>
        <w:pStyle w:val="formattext"/>
        <w:jc w:val="center"/>
      </w:pPr>
      <w:r>
        <w:br/>
      </w:r>
    </w:p>
    <w:p w:rsidR="001A2CB6" w:rsidRDefault="001A2CB6" w:rsidP="001A2CB6">
      <w:pPr>
        <w:pStyle w:val="topleveltext"/>
        <w:jc w:val="center"/>
      </w:pPr>
      <w:r>
        <w:rPr>
          <w:noProof/>
        </w:rPr>
        <w:lastRenderedPageBreak/>
        <w:drawing>
          <wp:inline distT="0" distB="0" distL="0" distR="0">
            <wp:extent cx="3133725" cy="2500630"/>
            <wp:effectExtent l="19050" t="0" r="9525" b="0"/>
            <wp:docPr id="23" name="Рисунок 23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50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</w:pPr>
      <w:r>
        <w:t>1. 36-39 HRC</w:t>
      </w:r>
      <w:r>
        <w:pict>
          <v:shape id="_x0000_i1038" type="#_x0000_t75" alt="ГОСТ Р 50578-93 Материалы композиционные полимерные. Метод испытания на сдвиг перекашиванием пластин" style="width:8pt;height:17.85pt"/>
        </w:pict>
      </w:r>
      <w:r>
        <w:br/>
      </w:r>
    </w:p>
    <w:p w:rsidR="001A2CB6" w:rsidRDefault="001A2CB6" w:rsidP="001A2CB6">
      <w:pPr>
        <w:pStyle w:val="formattext"/>
      </w:pPr>
      <w:r>
        <w:t>2. * Размер для справок.</w:t>
      </w:r>
      <w:r>
        <w:br/>
      </w:r>
    </w:p>
    <w:p w:rsidR="001A2CB6" w:rsidRDefault="001A2CB6" w:rsidP="001A2CB6">
      <w:pPr>
        <w:pStyle w:val="formattext"/>
      </w:pPr>
      <w:r>
        <w:t xml:space="preserve">3. h14; </w:t>
      </w:r>
      <w:r>
        <w:rPr>
          <w:noProof/>
        </w:rPr>
        <w:drawing>
          <wp:inline distT="0" distB="0" distL="0" distR="0">
            <wp:extent cx="484505" cy="390525"/>
            <wp:effectExtent l="19050" t="0" r="0" b="0"/>
            <wp:docPr id="25" name="Рисунок 25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:rsidR="001A2CB6" w:rsidRDefault="001A2CB6" w:rsidP="001A2CB6">
      <w:pPr>
        <w:pStyle w:val="formattext"/>
      </w:pPr>
      <w:r>
        <w:t>4. Покрытие Х6.</w:t>
      </w:r>
      <w:r>
        <w:br/>
      </w:r>
    </w:p>
    <w:p w:rsidR="001A2CB6" w:rsidRDefault="001A2CB6" w:rsidP="001A2CB6">
      <w:pPr>
        <w:pStyle w:val="formattext"/>
      </w:pPr>
      <w:r>
        <w:t>5. Обработку отверстий по размерам в квадратных скобках производить совместно с плитой средней</w:t>
      </w:r>
      <w:r>
        <w:br/>
      </w:r>
    </w:p>
    <w:p w:rsidR="001A2CB6" w:rsidRDefault="001A2CB6" w:rsidP="001A2CB6">
      <w:pPr>
        <w:pStyle w:val="formattext"/>
        <w:jc w:val="center"/>
      </w:pPr>
      <w:r>
        <w:t>Рисунок А.3 - Вкладыш</w:t>
      </w:r>
    </w:p>
    <w:p w:rsidR="001A2CB6" w:rsidRDefault="001A2CB6" w:rsidP="001A2CB6">
      <w:pPr>
        <w:pStyle w:val="formattext"/>
        <w:jc w:val="center"/>
      </w:pPr>
      <w:r>
        <w:br/>
      </w:r>
    </w:p>
    <w:p w:rsidR="001A2CB6" w:rsidRDefault="001A2CB6" w:rsidP="001A2CB6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2899410" cy="1617980"/>
            <wp:effectExtent l="19050" t="0" r="0" b="0"/>
            <wp:docPr id="26" name="Рисунок 26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161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</w:pPr>
      <w:r>
        <w:t>1. 36-39 HRC</w:t>
      </w:r>
      <w:r>
        <w:pict>
          <v:shape id="_x0000_i1039" type="#_x0000_t75" alt="ГОСТ Р 50578-93 Материалы композиционные полимерные. Метод испытания на сдвиг перекашиванием пластин" style="width:8pt;height:17.85pt"/>
        </w:pict>
      </w:r>
      <w:r>
        <w:t>.</w:t>
      </w:r>
      <w:r>
        <w:br/>
      </w:r>
    </w:p>
    <w:p w:rsidR="001A2CB6" w:rsidRDefault="001A2CB6" w:rsidP="001A2CB6">
      <w:pPr>
        <w:pStyle w:val="formattext"/>
      </w:pPr>
      <w:r>
        <w:lastRenderedPageBreak/>
        <w:t xml:space="preserve">2. h14; </w:t>
      </w:r>
      <w:r>
        <w:rPr>
          <w:noProof/>
        </w:rPr>
        <w:drawing>
          <wp:inline distT="0" distB="0" distL="0" distR="0">
            <wp:extent cx="484505" cy="390525"/>
            <wp:effectExtent l="19050" t="0" r="0" b="0"/>
            <wp:docPr id="28" name="Рисунок 28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:rsidR="001A2CB6" w:rsidRDefault="001A2CB6" w:rsidP="001A2CB6">
      <w:pPr>
        <w:pStyle w:val="formattext"/>
      </w:pPr>
      <w:r>
        <w:t>3. Покрытие Х6.</w:t>
      </w:r>
      <w:r>
        <w:br/>
      </w:r>
    </w:p>
    <w:p w:rsidR="001A2CB6" w:rsidRDefault="001A2CB6" w:rsidP="001A2CB6">
      <w:pPr>
        <w:pStyle w:val="formattext"/>
        <w:jc w:val="center"/>
      </w:pPr>
      <w:r>
        <w:t>Рисунок А.4 - Башмак</w:t>
      </w:r>
    </w:p>
    <w:p w:rsidR="001A2CB6" w:rsidRDefault="001A2CB6" w:rsidP="001A2CB6">
      <w:pPr>
        <w:pStyle w:val="formattext"/>
        <w:jc w:val="center"/>
      </w:pPr>
    </w:p>
    <w:p w:rsidR="001A2CB6" w:rsidRDefault="001A2CB6" w:rsidP="001A2CB6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2383790" cy="1946275"/>
            <wp:effectExtent l="19050" t="0" r="0" b="0"/>
            <wp:docPr id="29" name="Рисунок 29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194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</w:pPr>
      <w:r>
        <w:t>1. 36-39 HRC</w:t>
      </w:r>
      <w:r>
        <w:pict>
          <v:shape id="_x0000_i1040" type="#_x0000_t75" alt="ГОСТ Р 50578-93 Материалы композиционные полимерные. Метод испытания на сдвиг перекашиванием пластин" style="width:8pt;height:17.85pt"/>
        </w:pict>
      </w:r>
      <w:r>
        <w:t>.</w:t>
      </w:r>
      <w:r>
        <w:br/>
      </w:r>
    </w:p>
    <w:p w:rsidR="001A2CB6" w:rsidRDefault="001A2CB6" w:rsidP="001A2CB6">
      <w:pPr>
        <w:pStyle w:val="formattext"/>
      </w:pPr>
      <w:r>
        <w:t>2. * Размер для справок.</w:t>
      </w:r>
      <w:r>
        <w:br/>
      </w:r>
    </w:p>
    <w:p w:rsidR="001A2CB6" w:rsidRDefault="001A2CB6" w:rsidP="001A2CB6">
      <w:pPr>
        <w:pStyle w:val="formattext"/>
      </w:pPr>
      <w:r>
        <w:t xml:space="preserve">3. h14; </w:t>
      </w:r>
      <w:r>
        <w:rPr>
          <w:noProof/>
        </w:rPr>
        <w:drawing>
          <wp:inline distT="0" distB="0" distL="0" distR="0">
            <wp:extent cx="484505" cy="390525"/>
            <wp:effectExtent l="19050" t="0" r="0" b="0"/>
            <wp:docPr id="31" name="Рисунок 31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:rsidR="001A2CB6" w:rsidRDefault="001A2CB6" w:rsidP="001A2CB6">
      <w:pPr>
        <w:pStyle w:val="formattext"/>
      </w:pPr>
      <w:r>
        <w:t>4. Покрытие Х6.</w:t>
      </w:r>
      <w:r>
        <w:br/>
      </w:r>
    </w:p>
    <w:p w:rsidR="001A2CB6" w:rsidRDefault="001A2CB6" w:rsidP="001A2CB6">
      <w:pPr>
        <w:pStyle w:val="formattext"/>
      </w:pPr>
      <w:r>
        <w:t>5. Обработку отверстий по размерам в квадратных скобках производить совместно с вкладышем.</w:t>
      </w:r>
      <w:r>
        <w:br/>
      </w:r>
    </w:p>
    <w:p w:rsidR="001A2CB6" w:rsidRDefault="001A2CB6" w:rsidP="001A2CB6">
      <w:pPr>
        <w:pStyle w:val="formattext"/>
        <w:jc w:val="center"/>
      </w:pPr>
      <w:r>
        <w:t>Рисунок А.5 - Плита средняя</w:t>
      </w:r>
    </w:p>
    <w:p w:rsidR="001A2CB6" w:rsidRDefault="001A2CB6" w:rsidP="001A2CB6">
      <w:pPr>
        <w:pStyle w:val="formattext"/>
        <w:jc w:val="center"/>
      </w:pPr>
    </w:p>
    <w:p w:rsidR="001A2CB6" w:rsidRDefault="001A2CB6" w:rsidP="001A2CB6">
      <w:pPr>
        <w:pStyle w:val="topleveltext"/>
        <w:jc w:val="center"/>
      </w:pPr>
      <w:r>
        <w:rPr>
          <w:noProof/>
        </w:rPr>
        <w:lastRenderedPageBreak/>
        <w:drawing>
          <wp:inline distT="0" distB="0" distL="0" distR="0">
            <wp:extent cx="2235200" cy="1836420"/>
            <wp:effectExtent l="19050" t="0" r="0" b="0"/>
            <wp:docPr id="32" name="Рисунок 32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83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</w:pPr>
      <w:r>
        <w:t>1. 36-39 HRC</w:t>
      </w:r>
      <w:r>
        <w:pict>
          <v:shape id="_x0000_i1041" type="#_x0000_t75" alt="ГОСТ Р 50578-93 Материалы композиционные полимерные. Метод испытания на сдвиг перекашиванием пластин" style="width:8pt;height:17.85pt"/>
        </w:pict>
      </w:r>
      <w:r>
        <w:t>.</w:t>
      </w:r>
      <w:r>
        <w:br/>
      </w:r>
    </w:p>
    <w:p w:rsidR="001A2CB6" w:rsidRDefault="001A2CB6" w:rsidP="001A2CB6">
      <w:pPr>
        <w:pStyle w:val="formattext"/>
      </w:pPr>
      <w:r>
        <w:t>2. * Размер для справок.</w:t>
      </w:r>
      <w:r>
        <w:br/>
      </w:r>
    </w:p>
    <w:p w:rsidR="001A2CB6" w:rsidRDefault="001A2CB6" w:rsidP="001A2CB6">
      <w:pPr>
        <w:pStyle w:val="formattext"/>
      </w:pPr>
      <w:r>
        <w:t xml:space="preserve">3. h14; </w:t>
      </w:r>
      <w:r>
        <w:rPr>
          <w:noProof/>
        </w:rPr>
        <w:drawing>
          <wp:inline distT="0" distB="0" distL="0" distR="0">
            <wp:extent cx="484505" cy="390525"/>
            <wp:effectExtent l="19050" t="0" r="0" b="0"/>
            <wp:docPr id="34" name="Рисунок 34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:rsidR="001A2CB6" w:rsidRDefault="001A2CB6" w:rsidP="001A2CB6">
      <w:pPr>
        <w:pStyle w:val="formattext"/>
      </w:pPr>
      <w:r>
        <w:t>4. Покрытие Х6.</w:t>
      </w:r>
      <w:r>
        <w:br/>
      </w:r>
    </w:p>
    <w:p w:rsidR="001A2CB6" w:rsidRDefault="001A2CB6" w:rsidP="001A2CB6">
      <w:pPr>
        <w:pStyle w:val="formattext"/>
      </w:pPr>
      <w:r>
        <w:t>5. Обработку отверстий по размерам в квадратных скобках производить совместно с вкладышем.</w:t>
      </w:r>
      <w:r>
        <w:br/>
      </w:r>
    </w:p>
    <w:p w:rsidR="001A2CB6" w:rsidRDefault="001A2CB6" w:rsidP="001A2CB6">
      <w:pPr>
        <w:pStyle w:val="formattext"/>
        <w:jc w:val="center"/>
      </w:pPr>
      <w:r>
        <w:t>Рисунок А.6 - Плита крайняя</w:t>
      </w:r>
    </w:p>
    <w:p w:rsidR="001A2CB6" w:rsidRDefault="001A2CB6" w:rsidP="001A2CB6">
      <w:pPr>
        <w:pStyle w:val="formattext"/>
        <w:jc w:val="center"/>
      </w:pPr>
      <w:r>
        <w:br/>
      </w:r>
    </w:p>
    <w:p w:rsidR="001A2CB6" w:rsidRDefault="001A2CB6" w:rsidP="001A2CB6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2407285" cy="1570990"/>
            <wp:effectExtent l="19050" t="0" r="0" b="0"/>
            <wp:docPr id="35" name="Рисунок 35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57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</w:pPr>
      <w:r>
        <w:t>1. 36-39 HRC</w:t>
      </w:r>
      <w:r>
        <w:pict>
          <v:shape id="_x0000_i1042" type="#_x0000_t75" alt="ГОСТ Р 50578-93 Материалы композиционные полимерные. Метод испытания на сдвиг перекашиванием пластин" style="width:8pt;height:17.85pt"/>
        </w:pict>
      </w:r>
      <w:r>
        <w:t>.</w:t>
      </w:r>
      <w:r>
        <w:br/>
      </w:r>
    </w:p>
    <w:p w:rsidR="001A2CB6" w:rsidRDefault="001A2CB6" w:rsidP="001A2CB6">
      <w:pPr>
        <w:pStyle w:val="formattext"/>
      </w:pPr>
      <w:r>
        <w:t xml:space="preserve">2. h14; </w:t>
      </w:r>
      <w:r>
        <w:rPr>
          <w:noProof/>
        </w:rPr>
        <w:drawing>
          <wp:inline distT="0" distB="0" distL="0" distR="0">
            <wp:extent cx="484505" cy="390525"/>
            <wp:effectExtent l="19050" t="0" r="0" b="0"/>
            <wp:docPr id="37" name="Рисунок 37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:rsidR="001A2CB6" w:rsidRDefault="001A2CB6" w:rsidP="001A2CB6">
      <w:pPr>
        <w:pStyle w:val="formattext"/>
      </w:pPr>
      <w:r>
        <w:lastRenderedPageBreak/>
        <w:t>3. Покрытие Х6.</w:t>
      </w:r>
      <w:r>
        <w:br/>
      </w:r>
    </w:p>
    <w:p w:rsidR="001A2CB6" w:rsidRDefault="001A2CB6" w:rsidP="001A2CB6">
      <w:pPr>
        <w:pStyle w:val="formattext"/>
        <w:jc w:val="center"/>
      </w:pPr>
      <w:r>
        <w:t>Рисунок А.7 - Знак нижний</w:t>
      </w:r>
    </w:p>
    <w:p w:rsidR="001A2CB6" w:rsidRDefault="001A2CB6" w:rsidP="001A2CB6">
      <w:pPr>
        <w:pStyle w:val="formattext"/>
        <w:jc w:val="center"/>
      </w:pPr>
      <w:r>
        <w:br/>
      </w:r>
    </w:p>
    <w:p w:rsidR="001A2CB6" w:rsidRDefault="001A2CB6" w:rsidP="001A2CB6">
      <w:pPr>
        <w:pStyle w:val="topleveltext"/>
        <w:jc w:val="center"/>
      </w:pPr>
      <w:r>
        <w:rPr>
          <w:noProof/>
        </w:rPr>
        <w:drawing>
          <wp:inline distT="0" distB="0" distL="0" distR="0">
            <wp:extent cx="2430780" cy="2665095"/>
            <wp:effectExtent l="19050" t="0" r="7620" b="0"/>
            <wp:docPr id="38" name="Рисунок 38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B6" w:rsidRDefault="001A2CB6" w:rsidP="001A2CB6">
      <w:pPr>
        <w:pStyle w:val="formattext"/>
      </w:pPr>
      <w:r>
        <w:t>1. 36-39 HRC</w:t>
      </w:r>
      <w:r>
        <w:pict>
          <v:shape id="_x0000_i1043" type="#_x0000_t75" alt="ГОСТ Р 50578-93 Материалы композиционные полимерные. Метод испытания на сдвиг перекашиванием пластин" style="width:8pt;height:17.85pt"/>
        </w:pict>
      </w:r>
      <w:r>
        <w:t>.</w:t>
      </w:r>
      <w:r>
        <w:br/>
      </w:r>
    </w:p>
    <w:p w:rsidR="001A2CB6" w:rsidRDefault="001A2CB6" w:rsidP="001A2CB6">
      <w:pPr>
        <w:pStyle w:val="formattext"/>
      </w:pPr>
      <w:r>
        <w:t xml:space="preserve">2. h14; </w:t>
      </w:r>
      <w:r>
        <w:rPr>
          <w:noProof/>
        </w:rPr>
        <w:drawing>
          <wp:inline distT="0" distB="0" distL="0" distR="0">
            <wp:extent cx="484505" cy="390525"/>
            <wp:effectExtent l="19050" t="0" r="0" b="0"/>
            <wp:docPr id="40" name="Рисунок 40" descr="ГОСТ Р 50578-93 Материалы композиционные полимерные. Метод испытания на сдвиг перекашиванием пласт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ГОСТ Р 50578-93 Материалы композиционные полимерные. Метод испытания на сдвиг перекашиванием пластин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:rsidR="001A2CB6" w:rsidRDefault="001A2CB6" w:rsidP="001A2CB6">
      <w:pPr>
        <w:pStyle w:val="formattext"/>
      </w:pPr>
      <w:r>
        <w:t>3. Покрытие Х6.</w:t>
      </w:r>
      <w:r>
        <w:br/>
      </w:r>
    </w:p>
    <w:p w:rsidR="001A2CB6" w:rsidRDefault="001A2CB6" w:rsidP="001A2CB6">
      <w:pPr>
        <w:pStyle w:val="formattext"/>
        <w:jc w:val="center"/>
      </w:pPr>
      <w:r>
        <w:t>Рисунок А.8 - Знак верхний</w:t>
      </w:r>
    </w:p>
    <w:p w:rsidR="001A2CB6" w:rsidRDefault="001A2CB6" w:rsidP="001A2CB6">
      <w:pPr>
        <w:pStyle w:val="formattext"/>
      </w:pPr>
      <w:r>
        <w:br/>
      </w:r>
    </w:p>
    <w:p w:rsidR="001655D6" w:rsidRDefault="001655D6"/>
    <w:sectPr w:rsidR="001655D6" w:rsidSect="00165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08"/>
  <w:characterSpacingControl w:val="doNotCompress"/>
  <w:compat/>
  <w:rsids>
    <w:rsidRoot w:val="001A2CB6"/>
    <w:rsid w:val="000845DC"/>
    <w:rsid w:val="001655D6"/>
    <w:rsid w:val="001A2CB6"/>
    <w:rsid w:val="00C76EBE"/>
    <w:rsid w:val="00F00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D6"/>
  </w:style>
  <w:style w:type="paragraph" w:styleId="1">
    <w:name w:val="heading 1"/>
    <w:basedOn w:val="a"/>
    <w:link w:val="10"/>
    <w:uiPriority w:val="9"/>
    <w:qFormat/>
    <w:rsid w:val="001A2CB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A2CB6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A2CB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CB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A2CB6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A2CB6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A2C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1A2C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A2CB6"/>
    <w:rPr>
      <w:color w:val="0000FF"/>
      <w:u w:val="single"/>
    </w:rPr>
  </w:style>
  <w:style w:type="paragraph" w:customStyle="1" w:styleId="topleveltext">
    <w:name w:val="topleveltext"/>
    <w:basedOn w:val="a"/>
    <w:rsid w:val="001A2C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2C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cs.cntd.ru/document/1200020780" TargetMode="External"/><Relationship Id="rId18" Type="http://schemas.openxmlformats.org/officeDocument/2006/relationships/hyperlink" Target="http://docs.cntd.ru/document/1200020780" TargetMode="External"/><Relationship Id="rId26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hyperlink" Target="http://docs.cntd.ru/document/1200023577" TargetMode="External"/><Relationship Id="rId12" Type="http://schemas.openxmlformats.org/officeDocument/2006/relationships/hyperlink" Target="http://docs.cntd.ru/document/1200020769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1200023567" TargetMode="External"/><Relationship Id="rId11" Type="http://schemas.openxmlformats.org/officeDocument/2006/relationships/hyperlink" Target="http://docs.cntd.ru/document/1200023567" TargetMode="External"/><Relationship Id="rId24" Type="http://schemas.openxmlformats.org/officeDocument/2006/relationships/image" Target="media/image12.jpeg"/><Relationship Id="rId5" Type="http://schemas.openxmlformats.org/officeDocument/2006/relationships/hyperlink" Target="http://docs.cntd.ru/document/1200020780" TargetMode="External"/><Relationship Id="rId15" Type="http://schemas.openxmlformats.org/officeDocument/2006/relationships/image" Target="media/image4.jpeg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hyperlink" Target="http://docs.cntd.ru/document/1200020769" TargetMode="External"/><Relationship Id="rId9" Type="http://schemas.openxmlformats.org/officeDocument/2006/relationships/hyperlink" Target="http://docs.cntd.ru/document/1200023577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10.jpeg"/><Relationship Id="rId27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1619</Words>
  <Characters>9232</Characters>
  <Application>Microsoft Office Word</Application>
  <DocSecurity>0</DocSecurity>
  <Lines>76</Lines>
  <Paragraphs>21</Paragraphs>
  <ScaleCrop>false</ScaleCrop>
  <Company/>
  <LinksUpToDate>false</LinksUpToDate>
  <CharactersWithSpaces>10830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2015-02-24T13:12:00Z</dcterms:created>
  <dcterms:modified xsi:type="dcterms:W3CDTF">2015-02-24T13:14:00Z</dcterms:modified>
</cp:coreProperties>
</file>